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rFonts w:ascii="Arial" w:hAnsi="Arial"/>
        </w:rPr>
      </w:pPr>
      <w:r>
        <w:rPr>
          <w:rFonts w:ascii="Arial" w:hAnsi="Arial"/>
          <w:b/>
          <w:sz w:val="24"/>
          <w:szCs w:val="24"/>
        </w:rPr>
        <w:t>ANÁLISE CRÍTICA DA PESQUISA DE PREÇOS</w:t>
      </w:r>
    </w:p>
    <w:p>
      <w:pPr>
        <w:pStyle w:val="Normal"/>
        <w:spacing w:before="0" w:after="0"/>
        <w:jc w:val="center"/>
        <w:rPr>
          <w:rFonts w:ascii="Arial" w:hAnsi="Arial"/>
          <w:sz w:val="24"/>
          <w:szCs w:val="24"/>
        </w:rPr>
      </w:pPr>
      <w:r>
        <w:rPr>
          <w:rFonts w:ascii="Arial" w:hAnsi="Arial"/>
          <w:sz w:val="24"/>
          <w:szCs w:val="24"/>
        </w:rPr>
      </w:r>
    </w:p>
    <w:p>
      <w:pPr>
        <w:pStyle w:val="Normal"/>
        <w:spacing w:lineRule="auto" w:line="360" w:before="0" w:after="0"/>
        <w:jc w:val="both"/>
        <w:rPr>
          <w:rFonts w:ascii="Arial" w:hAnsi="Arial"/>
        </w:rPr>
      </w:pPr>
      <w:r>
        <w:rPr>
          <w:rFonts w:ascii="Arial" w:hAnsi="Arial"/>
          <w:b/>
          <w:sz w:val="24"/>
          <w:szCs w:val="24"/>
        </w:rPr>
        <w:t>I. Descrição do objeto a ser contratado:</w:t>
      </w:r>
    </w:p>
    <w:p>
      <w:pPr>
        <w:pStyle w:val="ListParagraph"/>
        <w:widowControl/>
        <w:tabs>
          <w:tab w:val="clear" w:pos="720"/>
          <w:tab w:val="left" w:pos="0" w:leader="none"/>
          <w:tab w:val="left" w:pos="142" w:leader="none"/>
          <w:tab w:val="left" w:pos="284" w:leader="none"/>
        </w:tabs>
        <w:suppressAutoHyphens w:val="true"/>
        <w:bidi w:val="0"/>
        <w:spacing w:lineRule="auto" w:line="360" w:before="0" w:after="0"/>
        <w:ind w:hanging="0" w:left="0" w:right="113"/>
        <w:contextualSpacing/>
        <w:jc w:val="both"/>
        <w:textAlignment w:val="top"/>
        <w:rPr>
          <w:rFonts w:ascii="Arial" w:hAnsi="Arial"/>
        </w:rPr>
      </w:pPr>
      <w:r>
        <w:rPr>
          <w:rFonts w:ascii="Arial" w:hAnsi="Arial"/>
          <w:b w:val="false"/>
          <w:bCs w:val="false"/>
          <w:sz w:val="24"/>
          <w:szCs w:val="24"/>
          <w:shd w:fill="auto" w:val="clear"/>
        </w:rPr>
        <w:t xml:space="preserve">Escavadeira Hidráulica sob esteira de aço, com as descrições mínimas: :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w:t>
      </w:r>
      <w:r>
        <w:rPr>
          <w:rFonts w:ascii="Arial" w:hAnsi="Arial"/>
          <w:b w:val="false"/>
          <w:bCs w:val="false"/>
          <w:sz w:val="24"/>
          <w:szCs w:val="24"/>
          <w:shd w:fill="auto" w:val="clear"/>
        </w:rPr>
        <w:t>13.8</w:t>
      </w:r>
      <w:r>
        <w:rPr>
          <w:rFonts w:ascii="Arial" w:hAnsi="Arial"/>
          <w:b w:val="false"/>
          <w:bCs w:val="false"/>
          <w:sz w:val="24"/>
          <w:szCs w:val="24"/>
          <w:shd w:fill="auto" w:val="clear"/>
        </w:rPr>
        <w:t xml:space="preserve"> KN, força mínima de escavação na caçamba 19,8 KN, profundidade mínima de escavação 2.400 mm, refrigeração a água, painel de controle, capacidade mínima volumétrica da caçamba de 0.06 </w:t>
      </w:r>
      <w:r>
        <w:rPr>
          <w:rFonts w:ascii="Arial" w:hAnsi="Arial"/>
          <w:b w:val="false"/>
          <w:bCs w:val="false"/>
          <w:sz w:val="24"/>
          <w:szCs w:val="24"/>
          <w:shd w:fill="auto" w:val="clear"/>
        </w:rPr>
        <w:t>m³</w:t>
      </w:r>
      <w:r>
        <w:rPr>
          <w:rFonts w:ascii="Arial" w:hAnsi="Arial"/>
          <w:b w:val="false"/>
          <w:bCs w:val="false"/>
          <w:sz w:val="24"/>
          <w:szCs w:val="24"/>
          <w:shd w:fill="auto" w:val="clear"/>
        </w:rPr>
        <w:t>, luzes para trabalho noturno, comando por j</w:t>
      </w:r>
      <w:r>
        <w:rPr>
          <w:rFonts w:ascii="Arial" w:hAnsi="Arial"/>
          <w:b w:val="false"/>
          <w:bCs w:val="false"/>
          <w:sz w:val="24"/>
          <w:szCs w:val="24"/>
          <w:shd w:fill="auto" w:val="clear"/>
        </w:rPr>
        <w:t>o</w:t>
      </w:r>
      <w:r>
        <w:rPr>
          <w:rFonts w:ascii="Arial" w:hAnsi="Arial"/>
          <w:b w:val="false"/>
          <w:bCs w:val="false"/>
          <w:sz w:val="24"/>
          <w:szCs w:val="24"/>
          <w:shd w:fill="auto" w:val="clear"/>
        </w:rPr>
        <w:t xml:space="preserve">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 </w:t>
      </w:r>
    </w:p>
    <w:p>
      <w:pPr>
        <w:pStyle w:val="Normal"/>
        <w:spacing w:lineRule="auto" w:line="360" w:before="0" w:after="0"/>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rPr>
      </w:pPr>
      <w:r>
        <w:rPr>
          <w:rFonts w:ascii="Arial" w:hAnsi="Arial"/>
          <w:b/>
          <w:sz w:val="24"/>
          <w:szCs w:val="24"/>
        </w:rPr>
        <w:t>II. Identificação dos agentes responsáveis pela pesquisa ou, se for o caso, da equipe de planejamento:</w:t>
      </w:r>
    </w:p>
    <w:p>
      <w:pPr>
        <w:pStyle w:val="Normal"/>
        <w:spacing w:lineRule="auto" w:line="360" w:before="0" w:after="0"/>
        <w:jc w:val="both"/>
        <w:rPr>
          <w:rFonts w:ascii="Arial" w:hAnsi="Arial"/>
        </w:rPr>
      </w:pPr>
      <w:r>
        <w:rPr>
          <w:rFonts w:ascii="Arial" w:hAnsi="Arial"/>
          <w:sz w:val="24"/>
          <w:szCs w:val="24"/>
        </w:rPr>
        <w:t>Rosicleide Inforzato.</w:t>
      </w:r>
    </w:p>
    <w:p>
      <w:pPr>
        <w:pStyle w:val="Normal"/>
        <w:spacing w:lineRule="auto" w:line="360" w:before="0" w:after="0"/>
        <w:jc w:val="both"/>
        <w:rPr>
          <w:rFonts w:ascii="Arial" w:hAnsi="Arial"/>
        </w:rPr>
      </w:pPr>
      <w:r>
        <w:rPr>
          <w:rFonts w:ascii="Arial" w:hAnsi="Arial"/>
          <w:b/>
          <w:sz w:val="24"/>
          <w:szCs w:val="24"/>
        </w:rPr>
        <w:t>III. Caracterização das fontes consultadas:</w:t>
      </w:r>
    </w:p>
    <w:p>
      <w:pPr>
        <w:pStyle w:val="Normal"/>
        <w:spacing w:lineRule="auto" w:line="360" w:before="0" w:after="0"/>
        <w:jc w:val="both"/>
        <w:rPr>
          <w:rFonts w:ascii="Arial" w:hAnsi="Arial"/>
        </w:rPr>
      </w:pPr>
      <w:r>
        <w:rPr>
          <w:rFonts w:ascii="Arial" w:hAnsi="Arial"/>
          <w:sz w:val="24"/>
          <w:szCs w:val="24"/>
        </w:rPr>
        <w:t>Para a composição desta pesquisa foram adotados os parâmetros indicados abaixo, de forma combinada, em conformidade com o que está previsto no caput do artigo 368, Decreto Municipal 3.537/2023:</w:t>
      </w:r>
    </w:p>
    <w:p>
      <w:pPr>
        <w:pStyle w:val="Normal"/>
        <w:tabs>
          <w:tab w:val="clear" w:pos="720"/>
          <w:tab w:val="left" w:pos="8025" w:leader="none"/>
        </w:tabs>
        <w:spacing w:lineRule="auto" w:line="360" w:before="0" w:after="0"/>
        <w:jc w:val="both"/>
        <w:rPr>
          <w:rFonts w:ascii="Arial" w:hAnsi="Arial"/>
          <w:highlight w:val="none"/>
          <w:shd w:fill="auto" w:val="clear"/>
        </w:rPr>
      </w:pPr>
      <w:r>
        <w:rPr>
          <w:rFonts w:ascii="Arial" w:hAnsi="Arial"/>
          <w:b/>
          <w:sz w:val="24"/>
          <w:szCs w:val="24"/>
          <w:shd w:fill="auto" w:val="clear"/>
        </w:rPr>
        <w:t>1º Painel de Preços e Portal Nacional de Contratações Públicas (PNCP)</w:t>
      </w:r>
      <w:r>
        <w:rPr>
          <w:rFonts w:ascii="Arial" w:hAnsi="Arial"/>
          <w:sz w:val="24"/>
          <w:szCs w:val="24"/>
          <w:shd w:fill="auto" w:val="clear"/>
        </w:rPr>
        <w:t xml:space="preserve">: </w:t>
      </w:r>
    </w:p>
    <w:p>
      <w:pPr>
        <w:pStyle w:val="Normal"/>
        <w:tabs>
          <w:tab w:val="clear" w:pos="720"/>
          <w:tab w:val="left" w:pos="8025" w:leader="none"/>
        </w:tabs>
        <w:spacing w:lineRule="auto" w:line="360" w:before="0" w:after="0"/>
        <w:jc w:val="both"/>
        <w:rPr/>
      </w:pPr>
      <w:r>
        <w:rPr>
          <w:rFonts w:ascii="Arial" w:hAnsi="Arial"/>
          <w:sz w:val="24"/>
          <w:szCs w:val="24"/>
          <w:shd w:fill="auto" w:val="clear"/>
        </w:rPr>
        <w:t xml:space="preserve">- </w:t>
      </w:r>
      <w:r>
        <w:rPr>
          <w:rStyle w:val="Hyperlink"/>
          <w:rFonts w:ascii="Arial" w:hAnsi="Arial"/>
          <w:b w:val="false"/>
          <w:bCs w:val="false"/>
          <w:color w:val="000000"/>
          <w:sz w:val="24"/>
          <w:szCs w:val="24"/>
          <w:u w:val="none"/>
          <w:shd w:fill="auto" w:val="clear"/>
        </w:rPr>
        <w:t xml:space="preserve">Em referência à necessidade de aquisição de uma escavadeira hidráulica para atender às demandas do município de Bandeirantes-PR, e em cumprimento aos requisitos legais e normativos aplicáveis, foram realizadas pesquisas detalhadas no Portal Nacional de Contratações Públicas (PNCP), através do sítio eletrônico </w:t>
      </w:r>
      <w:hyperlink r:id="rId2" w:tgtFrame="_blank">
        <w:r>
          <w:rPr>
            <w:rStyle w:val="Hyperlink"/>
            <w:rFonts w:ascii="Arial" w:hAnsi="Arial"/>
            <w:b w:val="false"/>
            <w:bCs w:val="false"/>
            <w:sz w:val="24"/>
            <w:szCs w:val="24"/>
            <w:shd w:fill="auto" w:val="clear"/>
          </w:rPr>
          <w:t>https://www.gov.br/pncp/pt-br</w:t>
        </w:r>
      </w:hyperlink>
      <w:r>
        <w:rPr>
          <w:rStyle w:val="Hyperlink"/>
          <w:rFonts w:ascii="Arial" w:hAnsi="Arial"/>
          <w:b w:val="false"/>
          <w:bCs w:val="false"/>
          <w:color w:val="000000"/>
          <w:sz w:val="24"/>
          <w:szCs w:val="24"/>
          <w:u w:val="none"/>
          <w:shd w:fill="auto" w:val="clear"/>
        </w:rPr>
        <w:t>, com o objetivo de identificar processos de compra de escavadeiras hidráulicas com características similares àquelas especificadas para a nossa necessidade.</w:t>
      </w:r>
    </w:p>
    <w:p>
      <w:pPr>
        <w:pStyle w:val="Normal"/>
        <w:tabs>
          <w:tab w:val="clear" w:pos="720"/>
          <w:tab w:val="left" w:pos="8025" w:leader="none"/>
        </w:tabs>
        <w:spacing w:lineRule="auto" w:line="240" w:before="0" w:after="0"/>
        <w:jc w:val="both"/>
        <w:rPr>
          <w:rFonts w:ascii="Arial" w:hAnsi="Arial"/>
        </w:rPr>
      </w:pPr>
      <w:r>
        <w:rPr>
          <w:rFonts w:ascii="Arial" w:hAnsi="Arial"/>
          <w:sz w:val="24"/>
          <w:szCs w:val="24"/>
        </w:rPr>
        <w:tab/>
      </w:r>
    </w:p>
    <w:p>
      <w:pPr>
        <w:pStyle w:val="Normal"/>
        <w:spacing w:lineRule="auto" w:line="360" w:before="0" w:after="0"/>
        <w:jc w:val="both"/>
        <w:rPr>
          <w:rFonts w:ascii="Arial" w:hAnsi="Arial"/>
        </w:rPr>
      </w:pPr>
      <w:r>
        <w:rPr>
          <w:rFonts w:ascii="Arial" w:hAnsi="Arial"/>
          <w:b/>
          <w:sz w:val="24"/>
          <w:szCs w:val="24"/>
        </w:rPr>
        <w:t>2º Contratações similares, em execução ou concluídas no período máximo de 01 (um) ano:</w:t>
      </w:r>
    </w:p>
    <w:p>
      <w:pPr>
        <w:pStyle w:val="ListParagraph"/>
        <w:numPr>
          <w:ilvl w:val="0"/>
          <w:numId w:val="1"/>
        </w:numPr>
        <w:spacing w:lineRule="auto" w:line="240" w:before="0" w:after="0"/>
        <w:contextualSpacing/>
        <w:jc w:val="both"/>
        <w:rPr>
          <w:highlight w:val="none"/>
          <w:shd w:fill="auto" w:val="clear"/>
        </w:rPr>
      </w:pPr>
      <w:r>
        <w:rPr>
          <w:rFonts w:ascii="Arial" w:hAnsi="Arial"/>
          <w:sz w:val="24"/>
          <w:szCs w:val="24"/>
          <w:shd w:fill="auto" w:val="clear"/>
        </w:rPr>
        <w:t xml:space="preserve">O item foi encontrado em editais publicados nos últimos 12 meses, a contar da data da presente pesquisa. </w:t>
      </w:r>
    </w:p>
    <w:p>
      <w:pPr>
        <w:pStyle w:val="ListParagraph"/>
        <w:spacing w:lineRule="auto" w:line="240" w:before="0" w:after="0"/>
        <w:ind w:hanging="0" w:left="720"/>
        <w:contextualSpacing/>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rPr>
      </w:pPr>
      <w:r>
        <w:rPr>
          <w:rFonts w:ascii="Arial" w:hAnsi="Arial"/>
          <w:b/>
          <w:sz w:val="24"/>
          <w:szCs w:val="24"/>
        </w:rPr>
        <w:t>3º Sítios eletrônicos especializados ou de domínio amplo, contendo data e hora de acesso</w:t>
      </w:r>
      <w:r>
        <w:rPr>
          <w:rFonts w:ascii="Arial" w:hAnsi="Arial"/>
          <w:sz w:val="24"/>
          <w:szCs w:val="24"/>
        </w:rPr>
        <w:t>:</w:t>
      </w:r>
    </w:p>
    <w:p>
      <w:pPr>
        <w:pStyle w:val="Normal"/>
        <w:spacing w:lineRule="auto" w:line="240" w:before="0" w:after="0"/>
        <w:rPr/>
      </w:pPr>
      <w:hyperlink r:id="rId3">
        <w:r>
          <w:rPr>
            <w:rStyle w:val="Hyperlink"/>
            <w:rFonts w:ascii="Arial" w:hAnsi="Arial"/>
            <w:sz w:val="24"/>
            <w:szCs w:val="24"/>
            <w:shd w:fill="auto" w:val="clear"/>
          </w:rPr>
          <w:t>https://pncp.gov.br</w:t>
        </w:r>
      </w:hyperlink>
      <w:r>
        <w:rPr>
          <w:rFonts w:ascii="Arial" w:hAnsi="Arial"/>
          <w:sz w:val="24"/>
          <w:szCs w:val="24"/>
          <w:shd w:fill="auto" w:val="clear"/>
        </w:rPr>
        <w:t xml:space="preserve">   - 07/04/2025 e  08/04/2025. </w:t>
      </w:r>
    </w:p>
    <w:p>
      <w:pPr>
        <w:pStyle w:val="Normal"/>
        <w:spacing w:lineRule="auto" w:line="240" w:before="0" w:after="0"/>
        <w:rPr>
          <w:rFonts w:ascii="Arial" w:hAnsi="Arial"/>
          <w:sz w:val="24"/>
          <w:szCs w:val="24"/>
          <w:shd w:fill="auto" w:val="clear"/>
        </w:rPr>
      </w:pPr>
      <w:r>
        <w:rPr>
          <w:rFonts w:ascii="Arial" w:hAnsi="Arial"/>
          <w:sz w:val="24"/>
          <w:szCs w:val="24"/>
          <w:shd w:fill="auto" w:val="clear"/>
        </w:rPr>
      </w:r>
    </w:p>
    <w:p>
      <w:pPr>
        <w:pStyle w:val="Normal"/>
        <w:spacing w:lineRule="auto" w:line="240" w:before="0" w:after="0"/>
        <w:rPr>
          <w:rFonts w:ascii="Arial" w:hAnsi="Arial"/>
          <w:sz w:val="24"/>
          <w:szCs w:val="24"/>
          <w:shd w:fill="auto" w:val="clear"/>
        </w:rPr>
      </w:pPr>
      <w:r>
        <w:rPr>
          <w:rFonts w:ascii="Arial" w:hAnsi="Arial"/>
          <w:sz w:val="24"/>
          <w:szCs w:val="24"/>
          <w:shd w:fill="auto" w:val="clear"/>
        </w:rPr>
      </w:r>
    </w:p>
    <w:p>
      <w:pPr>
        <w:pStyle w:val="Normal"/>
        <w:spacing w:lineRule="auto" w:line="360" w:before="0" w:after="0"/>
        <w:jc w:val="both"/>
        <w:rPr>
          <w:rFonts w:ascii="Arial" w:hAnsi="Arial"/>
        </w:rPr>
      </w:pPr>
      <w:r>
        <w:rPr>
          <w:rFonts w:ascii="Arial" w:hAnsi="Arial"/>
          <w:b/>
          <w:sz w:val="24"/>
          <w:szCs w:val="24"/>
        </w:rPr>
        <w:t>4º Pesquisa com no mínimo 03 (três) fornecedores ou prestadores de serviços, com a justificativa da escolha desses fornecedores</w:t>
      </w:r>
      <w:r>
        <w:rPr>
          <w:rFonts w:ascii="Arial" w:hAnsi="Arial"/>
          <w:sz w:val="24"/>
          <w:szCs w:val="24"/>
        </w:rPr>
        <w:t>:</w:t>
      </w:r>
    </w:p>
    <w:p>
      <w:pPr>
        <w:pStyle w:val="Normal"/>
        <w:widowControl/>
        <w:suppressAutoHyphens w:val="false"/>
        <w:spacing w:lineRule="auto" w:line="360" w:before="0" w:after="0"/>
        <w:ind w:hanging="0" w:left="0"/>
        <w:jc w:val="both"/>
        <w:textAlignment w:val="auto"/>
        <w:rPr>
          <w:rFonts w:ascii="Arial" w:hAnsi="Arial"/>
        </w:rPr>
      </w:pPr>
      <w:r>
        <w:rPr>
          <w:rFonts w:ascii="Arial" w:hAnsi="Arial"/>
          <w:b w:val="false"/>
          <w:bCs w:val="false"/>
          <w:color w:val="000000"/>
          <w:sz w:val="24"/>
          <w:szCs w:val="24"/>
          <w:u w:val="none"/>
        </w:rPr>
        <w:t xml:space="preserve">- </w:t>
      </w:r>
      <w:r>
        <w:rPr>
          <w:rFonts w:ascii="Arial" w:hAnsi="Arial"/>
          <w:b/>
          <w:bCs/>
          <w:color w:val="000000"/>
          <w:sz w:val="24"/>
          <w:szCs w:val="24"/>
          <w:u w:val="none"/>
        </w:rPr>
        <w:t>Sarandi Tratores Ltda</w:t>
      </w:r>
      <w:r>
        <w:rPr>
          <w:rFonts w:ascii="Arial" w:hAnsi="Arial"/>
          <w:b w:val="false"/>
          <w:bCs w:val="false"/>
          <w:color w:val="000000"/>
          <w:sz w:val="24"/>
          <w:szCs w:val="24"/>
          <w:u w:val="none"/>
        </w:rPr>
        <w:t xml:space="preserve"> -CNPJ 77.266.575/0001/85 – Avenida Ademar Bornia, 639 – Jardim Europa - Sarandi-Pr – telefone 44-3224-3033</w:t>
      </w:r>
    </w:p>
    <w:p>
      <w:pPr>
        <w:pStyle w:val="Normal"/>
        <w:spacing w:lineRule="auto" w:line="360" w:before="0" w:after="0"/>
        <w:ind w:hanging="283"/>
        <w:jc w:val="both"/>
        <w:rPr>
          <w:rFonts w:ascii="Arial" w:hAnsi="Arial"/>
        </w:rPr>
      </w:pPr>
      <w:r>
        <w:rPr>
          <w:rFonts w:ascii="Arial" w:hAnsi="Arial"/>
          <w:sz w:val="24"/>
          <w:szCs w:val="24"/>
          <w:u w:val="none"/>
        </w:rPr>
        <w:t xml:space="preserve">     </w:t>
      </w:r>
      <w:r>
        <w:rPr>
          <w:rFonts w:ascii="Arial" w:hAnsi="Arial"/>
          <w:sz w:val="24"/>
          <w:szCs w:val="24"/>
          <w:u w:val="none"/>
        </w:rPr>
        <w:t xml:space="preserve">-  </w:t>
      </w:r>
      <w:r>
        <w:rPr>
          <w:rFonts w:ascii="Arial" w:hAnsi="Arial"/>
          <w:b/>
          <w:bCs/>
          <w:color w:val="000000"/>
          <w:sz w:val="24"/>
          <w:szCs w:val="24"/>
          <w:u w:val="none"/>
        </w:rPr>
        <w:t xml:space="preserve">Engepeças </w:t>
      </w:r>
      <w:r>
        <w:rPr>
          <w:rFonts w:ascii="Arial" w:hAnsi="Arial"/>
          <w:b w:val="false"/>
          <w:bCs w:val="false"/>
          <w:color w:val="000000"/>
          <w:sz w:val="24"/>
          <w:szCs w:val="24"/>
          <w:u w:val="none"/>
        </w:rPr>
        <w:t>– CNPJ 05.063.653/0010-24</w:t>
      </w:r>
    </w:p>
    <w:p>
      <w:pPr>
        <w:pStyle w:val="Normal"/>
        <w:spacing w:lineRule="auto" w:line="360" w:before="0" w:after="0"/>
        <w:ind w:hanging="283"/>
        <w:jc w:val="both"/>
        <w:rPr>
          <w:rFonts w:ascii="Arial" w:hAnsi="Arial"/>
        </w:rPr>
      </w:pPr>
      <w:r>
        <w:rPr>
          <w:rFonts w:ascii="Arial" w:hAnsi="Arial"/>
          <w:b w:val="false"/>
          <w:bCs w:val="false"/>
          <w:color w:val="000000"/>
          <w:sz w:val="24"/>
          <w:szCs w:val="24"/>
          <w:u w:val="none"/>
        </w:rPr>
        <w:t xml:space="preserve">    </w:t>
      </w:r>
      <w:r>
        <w:rPr>
          <w:rFonts w:ascii="Arial" w:hAnsi="Arial"/>
          <w:b w:val="false"/>
          <w:bCs w:val="false"/>
          <w:color w:val="000000"/>
          <w:sz w:val="24"/>
          <w:szCs w:val="24"/>
          <w:u w:val="none"/>
        </w:rPr>
        <w:t>Rua José Semes, 17680 – Italia – cep. 83.020-442 - São José dos Pinhais- PR</w:t>
      </w:r>
    </w:p>
    <w:p>
      <w:pPr>
        <w:pStyle w:val="Normal"/>
        <w:widowControl/>
        <w:suppressAutoHyphens w:val="false"/>
        <w:spacing w:lineRule="auto" w:line="360" w:before="0" w:after="0"/>
        <w:ind w:hanging="0" w:left="0"/>
        <w:jc w:val="both"/>
        <w:textAlignment w:val="auto"/>
        <w:rPr>
          <w:rFonts w:ascii="Arial" w:hAnsi="Arial"/>
        </w:rPr>
      </w:pPr>
      <w:r>
        <w:rPr>
          <w:rFonts w:ascii="Arial" w:hAnsi="Arial"/>
          <w:b w:val="false"/>
          <w:bCs w:val="false"/>
          <w:color w:val="000000"/>
          <w:sz w:val="24"/>
          <w:szCs w:val="24"/>
          <w:u w:val="none"/>
        </w:rPr>
        <w:t xml:space="preserve">- </w:t>
      </w:r>
      <w:r>
        <w:rPr>
          <w:rFonts w:ascii="Arial" w:hAnsi="Arial"/>
          <w:b/>
          <w:bCs/>
          <w:color w:val="000000"/>
          <w:sz w:val="24"/>
          <w:szCs w:val="24"/>
          <w:u w:val="none"/>
        </w:rPr>
        <w:t xml:space="preserve">Paraná Equipamentos </w:t>
      </w:r>
      <w:r>
        <w:rPr>
          <w:rFonts w:ascii="Arial" w:hAnsi="Arial"/>
          <w:b w:val="false"/>
          <w:bCs w:val="false"/>
          <w:color w:val="000000"/>
          <w:sz w:val="24"/>
          <w:szCs w:val="24"/>
          <w:u w:val="none"/>
        </w:rPr>
        <w:t>– CNPJ 76.527.951/0001-85</w:t>
      </w:r>
    </w:p>
    <w:p>
      <w:pPr>
        <w:pStyle w:val="Normal"/>
        <w:widowControl/>
        <w:suppressAutoHyphens w:val="false"/>
        <w:spacing w:lineRule="auto" w:line="360" w:before="0" w:after="0"/>
        <w:ind w:hanging="0" w:left="0"/>
        <w:jc w:val="both"/>
        <w:textAlignment w:val="auto"/>
        <w:rPr>
          <w:rFonts w:ascii="Arial" w:hAnsi="Arial"/>
        </w:rPr>
      </w:pPr>
      <w:r>
        <w:rPr>
          <w:rFonts w:ascii="Arial" w:hAnsi="Arial"/>
          <w:b w:val="false"/>
          <w:bCs w:val="false"/>
          <w:color w:val="000000"/>
          <w:sz w:val="24"/>
          <w:szCs w:val="24"/>
          <w:u w:val="none"/>
        </w:rPr>
        <w:t>Marginal da BR 116, nº11807 – Vila Hauer – Cep 81.510-000 - Curitiba-Pr</w:t>
      </w:r>
    </w:p>
    <w:p>
      <w:pPr>
        <w:pStyle w:val="Normal"/>
        <w:spacing w:lineRule="auto" w:line="240" w:before="0" w:after="0"/>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sz w:val="24"/>
          <w:szCs w:val="24"/>
        </w:rPr>
      </w:pPr>
      <w:r>
        <w:rPr>
          <w:rFonts w:ascii="Arial" w:hAnsi="Arial"/>
          <w:b/>
          <w:sz w:val="24"/>
          <w:szCs w:val="24"/>
        </w:rPr>
        <w:t>5º Pesquisa no aplicativo Nota Paraná</w:t>
      </w:r>
      <w:r>
        <w:rPr>
          <w:rFonts w:ascii="Arial" w:hAnsi="Arial"/>
          <w:sz w:val="24"/>
          <w:szCs w:val="24"/>
        </w:rPr>
        <w:t>: Foram realizadas as pesquisas no site (</w:t>
      </w:r>
      <w:hyperlink r:id="rId4">
        <w:r>
          <w:rPr>
            <w:rStyle w:val="Hyperlink"/>
            <w:rFonts w:ascii="Arial" w:hAnsi="Arial"/>
            <w:sz w:val="24"/>
            <w:szCs w:val="24"/>
          </w:rPr>
          <w:t>http://www.notaparana.pr.gov.br</w:t>
        </w:r>
      </w:hyperlink>
      <w:r>
        <w:rPr>
          <w:rFonts w:ascii="Arial" w:hAnsi="Arial"/>
          <w:sz w:val="24"/>
          <w:szCs w:val="24"/>
        </w:rPr>
        <w:t xml:space="preserve"> ), nada encontrado, conforme documentos em anexos.</w:t>
      </w:r>
    </w:p>
    <w:p>
      <w:pPr>
        <w:pStyle w:val="Normal"/>
        <w:spacing w:lineRule="auto" w:line="360" w:before="0" w:after="0"/>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sz w:val="24"/>
          <w:szCs w:val="24"/>
        </w:rPr>
      </w:pPr>
      <w:r>
        <w:rPr>
          <w:rFonts w:ascii="Arial" w:hAnsi="Arial"/>
          <w:b/>
          <w:sz w:val="24"/>
          <w:szCs w:val="24"/>
        </w:rPr>
        <w:t>6º Tabelas oficiais</w:t>
      </w:r>
      <w:r>
        <w:rPr>
          <w:rFonts w:ascii="Arial" w:hAnsi="Arial"/>
          <w:sz w:val="24"/>
          <w:szCs w:val="24"/>
        </w:rPr>
        <w:t>: Não foram encontradas tabelas oficiais para o objeto de contratação. Foram realizadas pesquisas na Tabela Fipe, pois</w:t>
      </w:r>
      <w:r>
        <w:rPr>
          <w:rFonts w:ascii="Arial" w:hAnsi="Arial"/>
          <w:b w:val="false"/>
          <w:i w:val="false"/>
          <w:caps w:val="false"/>
          <w:smallCaps w:val="false"/>
          <w:color w:val="001D35"/>
          <w:spacing w:val="0"/>
          <w:sz w:val="24"/>
          <w:szCs w:val="24"/>
        </w:rPr>
        <w:t xml:space="preserve"> não tem informações sobre o preço de escavadeiras hidráulicas novas, mas é possível encontrar esse tipo de informação em sites de vendas.</w:t>
      </w:r>
      <w:r>
        <w:rPr>
          <w:rFonts w:ascii="Arial" w:hAnsi="Arial"/>
          <w:caps w:val="false"/>
          <w:smallCaps w:val="false"/>
          <w:color w:val="001D35"/>
          <w:spacing w:val="0"/>
          <w:sz w:val="24"/>
          <w:szCs w:val="24"/>
        </w:rPr>
        <w:t> </w:t>
      </w:r>
      <w:r>
        <w:rPr>
          <w:rFonts w:ascii="Arial" w:hAnsi="Arial"/>
          <w:sz w:val="24"/>
          <w:szCs w:val="24"/>
        </w:rPr>
        <w:t xml:space="preserve"> </w:t>
      </w:r>
    </w:p>
    <w:p>
      <w:pPr>
        <w:pStyle w:val="Normal"/>
        <w:spacing w:lineRule="auto" w:line="360" w:before="0" w:after="0"/>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rPr>
      </w:pPr>
      <w:r>
        <w:rPr>
          <w:rFonts w:ascii="Arial" w:hAnsi="Arial"/>
          <w:b/>
          <w:sz w:val="24"/>
          <w:szCs w:val="24"/>
        </w:rPr>
        <w:t xml:space="preserve">IV. Série de preços coletados: </w:t>
      </w:r>
      <w:r>
        <w:rPr>
          <w:rFonts w:ascii="Arial" w:hAnsi="Arial"/>
          <w:sz w:val="24"/>
          <w:szCs w:val="24"/>
        </w:rPr>
        <w:t>Não se aplica.</w:t>
      </w:r>
    </w:p>
    <w:p>
      <w:pPr>
        <w:pStyle w:val="Normal"/>
        <w:spacing w:lineRule="auto" w:line="360" w:before="0" w:after="0"/>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rPr>
      </w:pPr>
      <w:r>
        <w:rPr>
          <w:rFonts w:ascii="Arial" w:hAnsi="Arial"/>
          <w:b/>
          <w:sz w:val="24"/>
          <w:szCs w:val="24"/>
        </w:rPr>
        <w:t>V. Método estatístico aplicado para a definição do valor estimado.</w:t>
      </w:r>
    </w:p>
    <w:p>
      <w:pPr>
        <w:pStyle w:val="Normal"/>
        <w:spacing w:lineRule="auto" w:line="360" w:before="0" w:after="0"/>
        <w:jc w:val="both"/>
        <w:rPr>
          <w:rFonts w:ascii="Arial" w:hAnsi="Arial"/>
        </w:rPr>
      </w:pPr>
      <w:r>
        <w:rPr>
          <w:rFonts w:ascii="Arial" w:hAnsi="Arial"/>
          <w:sz w:val="24"/>
          <w:szCs w:val="24"/>
        </w:rPr>
        <w:t>Para a definição do valor estimado foi utilizado como base de cálculo a média.</w:t>
      </w:r>
    </w:p>
    <w:p>
      <w:pPr>
        <w:pStyle w:val="Normal"/>
        <w:spacing w:lineRule="auto" w:line="360" w:before="0" w:after="0"/>
        <w:jc w:val="both"/>
        <w:rPr>
          <w:rFonts w:ascii="Arial" w:hAnsi="Arial"/>
        </w:rPr>
      </w:pPr>
      <w:r>
        <w:rPr>
          <w:rFonts w:ascii="Arial" w:hAnsi="Arial"/>
        </w:rPr>
      </w:r>
    </w:p>
    <w:p>
      <w:pPr>
        <w:pStyle w:val="Normal"/>
        <w:spacing w:lineRule="auto" w:line="360" w:before="0" w:after="0"/>
        <w:jc w:val="both"/>
        <w:rPr>
          <w:rFonts w:ascii="Arial" w:hAnsi="Arial"/>
        </w:rPr>
      </w:pPr>
      <w:r>
        <w:rPr>
          <w:rFonts w:ascii="Arial" w:hAnsi="Arial"/>
          <w:b/>
          <w:sz w:val="24"/>
          <w:szCs w:val="24"/>
        </w:rPr>
        <w:t>VI. Justificativas para a metodologia utilizada, em especial para a desconsideração de valores inconsistentes, inexequíveis ou excessivamente elevados, se aplicável.</w:t>
      </w:r>
    </w:p>
    <w:p>
      <w:pPr>
        <w:pStyle w:val="Normal"/>
        <w:spacing w:before="0" w:after="0"/>
        <w:jc w:val="both"/>
        <w:rPr>
          <w:rFonts w:ascii="Arial" w:hAnsi="Arial"/>
        </w:rPr>
      </w:pPr>
      <w:r>
        <w:rPr>
          <w:rFonts w:ascii="Arial" w:hAnsi="Arial"/>
          <w:sz w:val="24"/>
          <w:szCs w:val="24"/>
        </w:rPr>
        <w:t xml:space="preserve">A média reflete melhor o conjunto dos dados, pois seu valor computa todos os preços coletados. Não despreza qualquer informação coletada e isso é uma grande vantagem estatística. </w:t>
      </w:r>
    </w:p>
    <w:p>
      <w:pPr>
        <w:pStyle w:val="Normal"/>
        <w:spacing w:before="0" w:after="0"/>
        <w:jc w:val="both"/>
        <w:rPr>
          <w:rFonts w:ascii="Arial" w:hAnsi="Arial"/>
          <w:sz w:val="24"/>
          <w:szCs w:val="24"/>
        </w:rPr>
      </w:pPr>
      <w:r>
        <w:rPr>
          <w:rFonts w:ascii="Arial" w:hAnsi="Arial"/>
          <w:sz w:val="24"/>
          <w:szCs w:val="24"/>
        </w:rPr>
      </w:r>
    </w:p>
    <w:p>
      <w:pPr>
        <w:pStyle w:val="Normal"/>
        <w:spacing w:lineRule="auto" w:line="360" w:before="0" w:after="0"/>
        <w:jc w:val="both"/>
        <w:rPr>
          <w:rFonts w:ascii="Arial" w:hAnsi="Arial"/>
        </w:rPr>
      </w:pPr>
      <w:r>
        <w:rPr>
          <w:rFonts w:ascii="Arial" w:hAnsi="Arial"/>
          <w:b/>
          <w:sz w:val="24"/>
          <w:szCs w:val="24"/>
        </w:rPr>
        <w:t xml:space="preserve">VII. Memória de cálculo do valor estimado e documentos que lhe dão suporte: </w:t>
      </w:r>
      <w:r>
        <w:rPr>
          <w:rFonts w:ascii="Arial" w:hAnsi="Arial"/>
          <w:sz w:val="24"/>
          <w:szCs w:val="24"/>
        </w:rPr>
        <w:t>Em anexo.</w:t>
      </w:r>
    </w:p>
    <w:p>
      <w:pPr>
        <w:pStyle w:val="Normal"/>
        <w:spacing w:lineRule="auto" w:line="360" w:before="0" w:after="0"/>
        <w:jc w:val="both"/>
        <w:rPr>
          <w:rFonts w:ascii="Arial" w:hAnsi="Arial"/>
          <w:sz w:val="24"/>
          <w:szCs w:val="24"/>
        </w:rPr>
      </w:pPr>
      <w:r>
        <w:rPr>
          <w:rFonts w:ascii="Arial" w:hAnsi="Arial"/>
          <w:sz w:val="24"/>
          <w:szCs w:val="24"/>
        </w:rPr>
      </w:r>
    </w:p>
    <w:p>
      <w:pPr>
        <w:pStyle w:val="Normal"/>
        <w:spacing w:lineRule="auto" w:line="240" w:before="0" w:after="0"/>
        <w:jc w:val="both"/>
        <w:rPr>
          <w:rFonts w:ascii="Arial" w:hAnsi="Arial"/>
        </w:rPr>
      </w:pPr>
      <w:r>
        <w:rPr>
          <w:rFonts w:ascii="Arial" w:hAnsi="Arial"/>
          <w:b/>
          <w:sz w:val="24"/>
          <w:szCs w:val="24"/>
        </w:rPr>
        <w:t>VIII. Justificativa da escolha dos fornecedores, no caso da pesquisa direta:</w:t>
      </w:r>
    </w:p>
    <w:p>
      <w:pPr>
        <w:pStyle w:val="Normal"/>
        <w:spacing w:lineRule="auto" w:line="240" w:before="0" w:after="0"/>
        <w:jc w:val="both"/>
        <w:rPr>
          <w:rFonts w:ascii="Arial" w:hAnsi="Arial"/>
          <w:b/>
          <w:sz w:val="24"/>
          <w:szCs w:val="24"/>
        </w:rPr>
      </w:pPr>
      <w:r>
        <w:rPr>
          <w:rFonts w:ascii="Arial" w:hAnsi="Arial"/>
          <w:b/>
          <w:sz w:val="24"/>
          <w:szCs w:val="24"/>
        </w:rPr>
      </w:r>
    </w:p>
    <w:p>
      <w:pPr>
        <w:pStyle w:val="Normal"/>
        <w:spacing w:lineRule="auto" w:line="276" w:before="0" w:after="0"/>
        <w:jc w:val="both"/>
        <w:rPr/>
      </w:pPr>
      <w:r>
        <w:rPr>
          <w:rFonts w:ascii="Arial" w:hAnsi="Arial"/>
          <w:sz w:val="24"/>
          <w:szCs w:val="24"/>
        </w:rPr>
        <w:t>A escolha dos fornecedores para a solicitação de envio de orçamentos foi realizada da forma que cumpra as exigências mínimas do objeto a ser contratado. Para a composição da Pesquisa de Preço, foi solicitado orçamento para os fornecedores especializados na comercialização do objeto a ser contratado:</w:t>
      </w:r>
    </w:p>
    <w:p>
      <w:pPr>
        <w:pStyle w:val="Normal"/>
        <w:spacing w:lineRule="auto" w:line="276" w:before="0" w:after="0"/>
        <w:jc w:val="both"/>
        <w:rPr>
          <w:sz w:val="24"/>
          <w:szCs w:val="24"/>
        </w:rPr>
      </w:pPr>
      <w:r>
        <w:rPr>
          <w:sz w:val="24"/>
          <w:szCs w:val="24"/>
        </w:rPr>
      </w:r>
    </w:p>
    <w:p>
      <w:pPr>
        <w:pStyle w:val="Normal"/>
        <w:widowControl/>
        <w:suppressAutoHyphens w:val="false"/>
        <w:spacing w:lineRule="auto" w:line="276" w:before="0" w:after="0"/>
        <w:ind w:hanging="0" w:left="0"/>
        <w:jc w:val="both"/>
        <w:textAlignment w:val="auto"/>
        <w:rPr/>
      </w:pPr>
      <w:r>
        <w:rPr>
          <w:rFonts w:ascii="Arial" w:hAnsi="Arial"/>
          <w:b w:val="false"/>
          <w:bCs w:val="false"/>
          <w:color w:val="000000"/>
          <w:sz w:val="24"/>
          <w:szCs w:val="24"/>
          <w:u w:val="none"/>
        </w:rPr>
        <w:t>-</w:t>
      </w:r>
      <w:r>
        <w:rPr>
          <w:rFonts w:ascii="Arial" w:hAnsi="Arial"/>
          <w:b/>
          <w:bCs/>
          <w:color w:val="000000"/>
          <w:sz w:val="24"/>
          <w:szCs w:val="24"/>
          <w:u w:val="none"/>
        </w:rPr>
        <w:t xml:space="preserve"> Sarandi Tratores Ltda</w:t>
      </w:r>
      <w:r>
        <w:rPr>
          <w:rFonts w:ascii="Arial" w:hAnsi="Arial"/>
          <w:b w:val="false"/>
          <w:bCs w:val="false"/>
          <w:color w:val="000000"/>
          <w:sz w:val="24"/>
          <w:szCs w:val="24"/>
          <w:u w:val="none"/>
        </w:rPr>
        <w:t xml:space="preserve"> -CNPJ 77.266.575/0001/85 – Avenida Ademar Bornia, 639 – Jardim Europa - Sarandi-Pr – telefone 44-3224-3033 -e-mail: </w:t>
      </w:r>
      <w:hyperlink r:id="rId5">
        <w:r>
          <w:rPr>
            <w:rStyle w:val="Hyperlink"/>
            <w:rFonts w:ascii="Arial" w:hAnsi="Arial"/>
            <w:b w:val="false"/>
            <w:bCs w:val="false"/>
            <w:color w:val="000000"/>
            <w:sz w:val="24"/>
            <w:szCs w:val="24"/>
            <w:u w:val="none"/>
          </w:rPr>
          <w:t>saranditratores@saranditratores.com.br</w:t>
        </w:r>
      </w:hyperlink>
      <w:r>
        <w:rPr>
          <w:rFonts w:ascii="Arial" w:hAnsi="Arial"/>
          <w:b w:val="false"/>
          <w:bCs w:val="false"/>
          <w:color w:val="000000"/>
          <w:sz w:val="24"/>
          <w:szCs w:val="24"/>
          <w:u w:val="none"/>
        </w:rPr>
        <w:t xml:space="preserve"> </w:t>
      </w:r>
    </w:p>
    <w:p>
      <w:pPr>
        <w:pStyle w:val="Normal"/>
        <w:spacing w:lineRule="auto" w:line="276" w:before="0" w:after="0"/>
        <w:ind w:hanging="283"/>
        <w:jc w:val="both"/>
        <w:rPr/>
      </w:pPr>
      <w:r>
        <w:rPr>
          <w:rFonts w:ascii="Arial" w:hAnsi="Arial"/>
          <w:sz w:val="24"/>
          <w:szCs w:val="24"/>
          <w:u w:val="none"/>
        </w:rPr>
        <w:t xml:space="preserve">     </w:t>
      </w:r>
      <w:r>
        <w:rPr>
          <w:rFonts w:ascii="Arial" w:hAnsi="Arial"/>
          <w:sz w:val="24"/>
          <w:szCs w:val="24"/>
          <w:u w:val="none"/>
        </w:rPr>
        <w:t xml:space="preserve">-  </w:t>
      </w:r>
      <w:r>
        <w:rPr>
          <w:rFonts w:ascii="Arial" w:hAnsi="Arial"/>
          <w:b/>
          <w:bCs/>
          <w:color w:val="000000"/>
          <w:sz w:val="24"/>
          <w:szCs w:val="24"/>
          <w:u w:val="none"/>
        </w:rPr>
        <w:t>Engepeças – CNPJ 05.063.653/0010-24</w:t>
      </w:r>
    </w:p>
    <w:p>
      <w:pPr>
        <w:pStyle w:val="Normal"/>
        <w:spacing w:lineRule="auto" w:line="276" w:before="0" w:after="0"/>
        <w:ind w:hanging="283"/>
        <w:jc w:val="both"/>
        <w:rPr/>
      </w:pPr>
      <w:r>
        <w:rPr>
          <w:rFonts w:ascii="Arial" w:hAnsi="Arial"/>
          <w:b w:val="false"/>
          <w:bCs w:val="false"/>
          <w:color w:val="000000"/>
          <w:sz w:val="24"/>
          <w:szCs w:val="24"/>
          <w:u w:val="none"/>
        </w:rPr>
        <w:t xml:space="preserve">     </w:t>
      </w:r>
      <w:r>
        <w:rPr>
          <w:rFonts w:ascii="Arial" w:hAnsi="Arial"/>
          <w:b w:val="false"/>
          <w:bCs w:val="false"/>
          <w:color w:val="000000"/>
          <w:sz w:val="24"/>
          <w:szCs w:val="24"/>
          <w:u w:val="none"/>
        </w:rPr>
        <w:t xml:space="preserve">Rua José Semes, 17680 – Italia – cep. 83.020-442 - São José dos Pinhais- PR – e-mail:  guilherme.godoy@engepeças.com.br </w:t>
      </w:r>
    </w:p>
    <w:p>
      <w:pPr>
        <w:pStyle w:val="Normal"/>
        <w:widowControl/>
        <w:suppressAutoHyphens w:val="false"/>
        <w:spacing w:lineRule="auto" w:line="276" w:before="0" w:after="0"/>
        <w:ind w:hanging="0" w:left="0"/>
        <w:jc w:val="both"/>
        <w:textAlignment w:val="auto"/>
        <w:rPr/>
      </w:pPr>
      <w:r>
        <w:rPr>
          <w:rFonts w:ascii="Arial" w:hAnsi="Arial"/>
          <w:b w:val="false"/>
          <w:bCs w:val="false"/>
          <w:color w:val="000000"/>
          <w:sz w:val="24"/>
          <w:szCs w:val="24"/>
          <w:u w:val="none"/>
        </w:rPr>
        <w:t xml:space="preserve">- </w:t>
      </w:r>
      <w:r>
        <w:rPr>
          <w:rFonts w:ascii="Arial" w:hAnsi="Arial"/>
          <w:b/>
          <w:bCs/>
          <w:color w:val="000000"/>
          <w:sz w:val="24"/>
          <w:szCs w:val="24"/>
          <w:u w:val="none"/>
        </w:rPr>
        <w:t>Paraná Equipamentos – CNPJ 76.527.951/0001-85</w:t>
      </w:r>
    </w:p>
    <w:p>
      <w:pPr>
        <w:pStyle w:val="Normal"/>
        <w:widowControl/>
        <w:suppressAutoHyphens w:val="false"/>
        <w:spacing w:lineRule="auto" w:line="276" w:before="0" w:after="0"/>
        <w:ind w:hanging="0" w:left="0"/>
        <w:jc w:val="both"/>
        <w:textAlignment w:val="auto"/>
        <w:rPr/>
      </w:pPr>
      <w:r>
        <w:rPr>
          <w:rStyle w:val="Hyperlink"/>
          <w:rFonts w:ascii="Arial" w:hAnsi="Arial"/>
          <w:b w:val="false"/>
          <w:bCs w:val="false"/>
          <w:strike w:val="false"/>
          <w:dstrike w:val="false"/>
          <w:color w:val="000000"/>
          <w:sz w:val="24"/>
          <w:szCs w:val="24"/>
          <w:u w:val="none"/>
        </w:rPr>
        <w:t>Marginal da BR 116, nº11807 – Vila Hauer – Cep 81.510-000 - Curitiba-Pr</w:t>
      </w:r>
      <w:r>
        <w:rPr>
          <w:rStyle w:val="Hyperlink"/>
          <w:rFonts w:ascii="Arial" w:hAnsi="Arial"/>
          <w:strike w:val="false"/>
          <w:dstrike w:val="false"/>
          <w:color w:val="000000"/>
          <w:sz w:val="24"/>
          <w:szCs w:val="24"/>
          <w:u w:val="none"/>
        </w:rPr>
        <w:t xml:space="preserve"> </w:t>
      </w:r>
    </w:p>
    <w:p>
      <w:pPr>
        <w:pStyle w:val="Normal"/>
        <w:widowControl/>
        <w:suppressAutoHyphens w:val="false"/>
        <w:spacing w:lineRule="auto" w:line="276" w:before="0" w:after="0"/>
        <w:ind w:hanging="0" w:left="0"/>
        <w:jc w:val="both"/>
        <w:textAlignment w:val="auto"/>
        <w:rPr>
          <w:rFonts w:ascii="Arial" w:hAnsi="Arial"/>
          <w:strike w:val="false"/>
          <w:dstrike w:val="false"/>
          <w:color w:val="000000"/>
          <w:sz w:val="24"/>
          <w:szCs w:val="24"/>
          <w:u w:val="none"/>
        </w:rPr>
      </w:pPr>
      <w:r>
        <w:rPr>
          <w:rFonts w:ascii="Arial" w:hAnsi="Arial"/>
          <w:strike w:val="false"/>
          <w:dstrike w:val="false"/>
          <w:color w:val="000000"/>
          <w:sz w:val="24"/>
          <w:szCs w:val="24"/>
          <w:u w:val="none"/>
        </w:rPr>
      </w:r>
    </w:p>
    <w:p>
      <w:pPr>
        <w:pStyle w:val="Normal"/>
        <w:widowControl/>
        <w:suppressAutoHyphens w:val="false"/>
        <w:spacing w:lineRule="auto" w:line="276" w:before="0" w:after="0"/>
        <w:ind w:hanging="0" w:left="0"/>
        <w:jc w:val="both"/>
        <w:textAlignment w:val="auto"/>
        <w:rPr/>
      </w:pPr>
      <w:r>
        <w:rPr>
          <w:rStyle w:val="Hyperlink"/>
          <w:rFonts w:ascii="Arial" w:hAnsi="Arial"/>
          <w:strike w:val="false"/>
          <w:dstrike w:val="false"/>
          <w:color w:val="000000"/>
          <w:sz w:val="24"/>
          <w:szCs w:val="24"/>
          <w:u w:val="none"/>
        </w:rPr>
        <w:t xml:space="preserve">Essa utilização está em conformidade com o disposto no </w:t>
      </w:r>
      <w:r>
        <w:rPr>
          <w:rStyle w:val="Hyperlink"/>
          <w:rFonts w:ascii="Arial" w:hAnsi="Arial"/>
          <w:b/>
          <w:bCs/>
          <w:strike w:val="false"/>
          <w:dstrike w:val="false"/>
          <w:color w:val="000000"/>
          <w:sz w:val="24"/>
          <w:szCs w:val="24"/>
          <w:u w:val="none"/>
        </w:rPr>
        <w:t>artigo 368, inciso VI, $ 2 167 do Decreto 3537/2023,</w:t>
      </w:r>
      <w:r>
        <w:rPr>
          <w:rStyle w:val="Hyperlink"/>
          <w:rFonts w:ascii="Arial" w:hAnsi="Arial"/>
          <w:strike w:val="false"/>
          <w:dstrike w:val="false"/>
          <w:color w:val="000000"/>
          <w:sz w:val="24"/>
          <w:szCs w:val="24"/>
          <w:u w:val="none"/>
        </w:rPr>
        <w:t xml:space="preserve"> o qual estabelece que os documentos comprobatórios para a composição da pesquisa de preços devem ter sido emitidos nos seis meses anteriores à data da pesquisa, salvo justificativa fundamentada.</w:t>
      </w:r>
    </w:p>
    <w:p>
      <w:pPr>
        <w:pStyle w:val="Normal"/>
        <w:widowControl/>
        <w:suppressAutoHyphens w:val="false"/>
        <w:spacing w:lineRule="auto" w:line="276" w:before="0" w:after="0"/>
        <w:ind w:hanging="0" w:left="0"/>
        <w:jc w:val="both"/>
        <w:textAlignment w:val="auto"/>
        <w:rPr/>
      </w:pPr>
      <w:r>
        <w:rPr>
          <w:rStyle w:val="Hyperlink"/>
          <w:rFonts w:ascii="Arial" w:hAnsi="Arial"/>
          <w:strike w:val="false"/>
          <w:dstrike w:val="false"/>
          <w:color w:val="000000"/>
          <w:sz w:val="24"/>
          <w:szCs w:val="24"/>
          <w:u w:val="none"/>
        </w:rPr>
        <w:t>Dessa forma, embora os orçamentos utilizados apresentem prazos internos de validade expirados eles ainda se enquadram no prazo legal de seis meses estabelecido pela norma e, portanto, são considerados validos para compor a pesquisa de preços.</w:t>
      </w:r>
    </w:p>
    <w:p>
      <w:pPr>
        <w:pStyle w:val="Normal"/>
        <w:spacing w:lineRule="auto" w:line="276" w:before="0" w:after="0"/>
        <w:jc w:val="both"/>
        <w:rPr>
          <w:rFonts w:ascii="Arial" w:hAnsi="Arial"/>
          <w:sz w:val="24"/>
          <w:szCs w:val="24"/>
        </w:rPr>
      </w:pPr>
      <w:r>
        <w:rPr>
          <w:rFonts w:ascii="Arial" w:hAnsi="Arial"/>
          <w:sz w:val="24"/>
          <w:szCs w:val="24"/>
        </w:rPr>
      </w:r>
    </w:p>
    <w:p>
      <w:pPr>
        <w:pStyle w:val="Normal"/>
        <w:spacing w:lineRule="auto" w:line="276" w:before="0" w:after="0"/>
        <w:jc w:val="both"/>
        <w:rPr/>
      </w:pPr>
      <w:r>
        <w:rPr>
          <w:rFonts w:ascii="Arial" w:hAnsi="Arial"/>
          <w:b/>
          <w:sz w:val="24"/>
          <w:szCs w:val="24"/>
        </w:rPr>
        <w:t>IX. Informar se foram observadas as condições comerciais praticadas, incluindo prazos e locais:</w:t>
      </w:r>
    </w:p>
    <w:p>
      <w:pPr>
        <w:pStyle w:val="Normal"/>
        <w:spacing w:lineRule="auto" w:line="276" w:before="0" w:after="0"/>
        <w:jc w:val="both"/>
        <w:rPr/>
      </w:pPr>
      <w:r>
        <w:rPr>
          <w:rFonts w:ascii="Arial" w:hAnsi="Arial"/>
          <w:sz w:val="24"/>
          <w:szCs w:val="24"/>
        </w:rPr>
        <w:t>Os itens deverão ser entregues nos endereços e condições informados no Termo de Referência e na solicitação de entrega, no horário das 7:30 horas às 11:00 e das 13:00 horas às 16:30 horas.</w:t>
      </w:r>
    </w:p>
    <w:p>
      <w:pPr>
        <w:pStyle w:val="Normal"/>
        <w:spacing w:lineRule="auto" w:line="276" w:before="0" w:after="0"/>
        <w:ind w:hanging="2"/>
        <w:jc w:val="both"/>
        <w:rPr>
          <w:rFonts w:ascii="Arial" w:hAnsi="Arial"/>
          <w:sz w:val="24"/>
          <w:szCs w:val="24"/>
        </w:rPr>
      </w:pPr>
      <w:r>
        <w:rPr>
          <w:rFonts w:ascii="Arial" w:hAnsi="Arial"/>
          <w:sz w:val="24"/>
          <w:szCs w:val="24"/>
        </w:rPr>
      </w:r>
    </w:p>
    <w:p>
      <w:pPr>
        <w:pStyle w:val="Normal"/>
        <w:spacing w:lineRule="auto" w:line="360" w:before="0" w:after="0"/>
        <w:ind w:hanging="2"/>
        <w:jc w:val="both"/>
        <w:rPr>
          <w:rFonts w:ascii="Arial" w:hAnsi="Arial"/>
        </w:rPr>
      </w:pPr>
      <w:r>
        <w:rPr>
          <w:rFonts w:ascii="Arial" w:hAnsi="Arial"/>
          <w:sz w:val="24"/>
          <w:szCs w:val="24"/>
        </w:rPr>
        <w:t>Bandeirantes, 07 de abril de 2025.</w:t>
      </w:r>
    </w:p>
    <w:p>
      <w:pPr>
        <w:pStyle w:val="Normal"/>
        <w:spacing w:lineRule="auto" w:line="360" w:before="0" w:after="0"/>
        <w:ind w:hanging="2"/>
        <w:jc w:val="both"/>
        <w:rPr>
          <w:rFonts w:ascii="Arial" w:hAnsi="Arial"/>
          <w:sz w:val="24"/>
          <w:szCs w:val="24"/>
        </w:rPr>
      </w:pPr>
      <w:r>
        <w:rPr>
          <w:rFonts w:ascii="Arial" w:hAnsi="Arial"/>
          <w:sz w:val="24"/>
          <w:szCs w:val="24"/>
        </w:rPr>
      </w:r>
    </w:p>
    <w:p>
      <w:pPr>
        <w:pStyle w:val="Normal"/>
        <w:widowControl w:val="false"/>
        <w:spacing w:before="0" w:after="0"/>
        <w:ind w:hanging="2"/>
        <w:jc w:val="center"/>
        <w:rPr>
          <w:rFonts w:ascii="Arial" w:hAnsi="Arial"/>
        </w:rPr>
      </w:pPr>
      <w:r>
        <w:rPr>
          <w:rFonts w:ascii="Arial" w:hAnsi="Arial"/>
          <w:sz w:val="24"/>
          <w:szCs w:val="24"/>
        </w:rPr>
        <w:t>____________________________</w:t>
      </w:r>
    </w:p>
    <w:p>
      <w:pPr>
        <w:pStyle w:val="Normal"/>
        <w:spacing w:lineRule="auto" w:line="240" w:before="0" w:after="0"/>
        <w:jc w:val="center"/>
        <w:rPr>
          <w:rFonts w:ascii="Arial" w:hAnsi="Arial"/>
        </w:rPr>
      </w:pPr>
      <w:r>
        <w:rPr>
          <w:rFonts w:ascii="Arial" w:hAnsi="Arial"/>
          <w:b/>
          <w:bCs/>
        </w:rPr>
        <w:t xml:space="preserve">PATRÍCIA PEDROSO DE OLIVEIRA </w:t>
      </w:r>
    </w:p>
    <w:p>
      <w:pPr>
        <w:pStyle w:val="Normal"/>
        <w:spacing w:lineRule="auto" w:line="240" w:before="0" w:after="0"/>
        <w:jc w:val="center"/>
        <w:rPr>
          <w:rFonts w:ascii="Arial" w:hAnsi="Arial"/>
        </w:rPr>
      </w:pPr>
      <w:r>
        <w:rPr>
          <w:rFonts w:ascii="Arial" w:hAnsi="Arial"/>
          <w:b/>
          <w:bCs/>
        </w:rPr>
        <w:t>Secretária de Planejamento</w:t>
      </w:r>
    </w:p>
    <w:sectPr>
      <w:headerReference w:type="even" r:id="rId6"/>
      <w:headerReference w:type="default" r:id="rId7"/>
      <w:headerReference w:type="first" r:id="rId8"/>
      <w:type w:val="nextPage"/>
      <w:pgSz w:w="11906" w:h="16838"/>
      <w:pgMar w:left="1320" w:right="1023" w:gutter="0" w:header="907" w:top="1701" w:footer="0" w:bottom="1134"/>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OpenSymbol">
    <w:altName w:val="Arial Unicode MS"/>
    <w:charset w:val="00"/>
    <w:family w:val="auto"/>
    <w:pitch w:val="variable"/>
  </w:font>
  <w:font w:name="Liberation Sans">
    <w:altName w:val="Arial"/>
    <w:charset w:val="00"/>
    <w:family w:val="swiss"/>
    <w:pitch w:val="variable"/>
  </w:font>
  <w:font w:name="Georgia">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before="0" w:after="0"/>
      <w:jc w:val="center"/>
      <w:rPr>
        <w:rFonts w:ascii="Times New Roman" w:hAnsi="Times New Roman"/>
        <w:b/>
        <w:color w:val="000000"/>
        <w:sz w:val="28"/>
        <w:szCs w:val="28"/>
      </w:rPr>
    </w:pPr>
    <w:r>
      <w:drawing>
        <wp:anchor behindDoc="1" distT="0" distB="0" distL="0" distR="0" simplePos="0" locked="0" layoutInCell="1" allowOverlap="1" relativeHeight="4">
          <wp:simplePos x="0" y="0"/>
          <wp:positionH relativeFrom="column">
            <wp:posOffset>-142240</wp:posOffset>
          </wp:positionH>
          <wp:positionV relativeFrom="paragraph">
            <wp:posOffset>-242570</wp:posOffset>
          </wp:positionV>
          <wp:extent cx="695325" cy="744220"/>
          <wp:effectExtent l="0" t="0" r="0" b="0"/>
          <wp:wrapNone/>
          <wp:docPr id="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
                  <pic:cNvPicPr>
                    <a:picLocks noChangeAspect="1" noChangeArrowheads="1"/>
                  </pic:cNvPicPr>
                </pic:nvPicPr>
                <pic:blipFill>
                  <a:blip r:embed="rId1"/>
                  <a:stretch>
                    <a:fillRect/>
                  </a:stretch>
                </pic:blipFill>
                <pic:spPr bwMode="auto">
                  <a:xfrm>
                    <a:off x="0" y="0"/>
                    <a:ext cx="695325" cy="744220"/>
                  </a:xfrm>
                  <a:prstGeom prst="rect">
                    <a:avLst/>
                  </a:prstGeom>
                  <a:noFill/>
                </pic:spPr>
              </pic:pic>
            </a:graphicData>
          </a:graphic>
        </wp:anchor>
      </w:drawing>
    </w:r>
    <w:r>
      <w:rPr>
        <w:rFonts w:ascii="Times New Roman" w:hAnsi="Times New Roman"/>
        <w:b/>
        <w:color w:val="000000"/>
        <w:sz w:val="28"/>
        <w:szCs w:val="28"/>
      </w:rPr>
      <w:t>PREFEITURA MUNICIPAL DE BANDEIRANTES</w:t>
    </w:r>
  </w:p>
  <w:p>
    <w:pPr>
      <w:pStyle w:val="Normal"/>
      <w:tabs>
        <w:tab w:val="clear" w:pos="720"/>
        <w:tab w:val="center" w:pos="4252" w:leader="none"/>
        <w:tab w:val="right" w:pos="8504" w:leader="none"/>
      </w:tabs>
      <w:spacing w:lineRule="auto" w:line="240" w:before="0" w:after="0"/>
      <w:jc w:val="center"/>
      <w:rPr>
        <w:rFonts w:ascii="Times New Roman" w:hAnsi="Times New Roman"/>
        <w:b/>
        <w:color w:val="000000"/>
        <w:sz w:val="28"/>
        <w:szCs w:val="28"/>
      </w:rPr>
    </w:pPr>
    <w:r>
      <w:rPr>
        <w:rFonts w:ascii="Times New Roman" w:hAnsi="Times New Roman"/>
        <w:b/>
        <w:color w:val="000000"/>
        <w:sz w:val="28"/>
        <w:szCs w:val="28"/>
      </w:rPr>
      <w:t xml:space="preserve">ESTADO DO </w:t>
    </w:r>
    <w:r>
      <w:rPr>
        <w:rFonts w:ascii="Times New Roman" w:hAnsi="Times New Roman"/>
        <w:b/>
        <w:sz w:val="28"/>
        <w:szCs w:val="28"/>
      </w:rPr>
      <w:t>PARANÁ</w:t>
    </w:r>
  </w:p>
  <w:p>
    <w:pPr>
      <w:pStyle w:val="Normal"/>
      <w:tabs>
        <w:tab w:val="clear" w:pos="720"/>
        <w:tab w:val="center" w:pos="4252" w:leader="none"/>
        <w:tab w:val="right" w:pos="8504" w:leader="none"/>
      </w:tabs>
      <w:spacing w:lineRule="auto" w:line="240" w:before="0" w:after="0"/>
      <w:jc w:val="center"/>
      <w:rPr>
        <w:rFonts w:ascii="Arial" w:hAnsi="Arial" w:eastAsia="Arial" w:cs="Arial"/>
        <w:color w:val="000000"/>
        <w:sz w:val="28"/>
        <w:szCs w:val="28"/>
      </w:rPr>
    </w:pPr>
    <w:r>
      <w:rPr>
        <w:rFonts w:eastAsia="Arial" w:cs="Arial" w:ascii="Arial" w:hAnsi="Arial"/>
        <w:color w:val="000000"/>
        <w:sz w:val="28"/>
        <w:szCs w:val="2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before="0" w:after="0"/>
      <w:jc w:val="center"/>
      <w:rPr>
        <w:rFonts w:ascii="Times New Roman" w:hAnsi="Times New Roman"/>
        <w:b/>
        <w:color w:val="000000"/>
        <w:sz w:val="28"/>
        <w:szCs w:val="28"/>
      </w:rPr>
    </w:pPr>
    <w:r>
      <w:drawing>
        <wp:anchor behindDoc="1" distT="0" distB="0" distL="0" distR="0" simplePos="0" locked="0" layoutInCell="1" allowOverlap="1" relativeHeight="4">
          <wp:simplePos x="0" y="0"/>
          <wp:positionH relativeFrom="column">
            <wp:posOffset>-142240</wp:posOffset>
          </wp:positionH>
          <wp:positionV relativeFrom="paragraph">
            <wp:posOffset>-242570</wp:posOffset>
          </wp:positionV>
          <wp:extent cx="695325" cy="744220"/>
          <wp:effectExtent l="0" t="0" r="0" b="0"/>
          <wp:wrapNone/>
          <wp:docPr id="2"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descr=""/>
                  <pic:cNvPicPr>
                    <a:picLocks noChangeAspect="1" noChangeArrowheads="1"/>
                  </pic:cNvPicPr>
                </pic:nvPicPr>
                <pic:blipFill>
                  <a:blip r:embed="rId1"/>
                  <a:stretch>
                    <a:fillRect/>
                  </a:stretch>
                </pic:blipFill>
                <pic:spPr bwMode="auto">
                  <a:xfrm>
                    <a:off x="0" y="0"/>
                    <a:ext cx="695325" cy="744220"/>
                  </a:xfrm>
                  <a:prstGeom prst="rect">
                    <a:avLst/>
                  </a:prstGeom>
                  <a:noFill/>
                </pic:spPr>
              </pic:pic>
            </a:graphicData>
          </a:graphic>
        </wp:anchor>
      </w:drawing>
    </w:r>
    <w:r>
      <w:rPr>
        <w:rFonts w:ascii="Times New Roman" w:hAnsi="Times New Roman"/>
        <w:b/>
        <w:color w:val="000000"/>
        <w:sz w:val="28"/>
        <w:szCs w:val="28"/>
      </w:rPr>
      <w:t>PREFEITURA MUNICIPAL DE BANDEIRANTES</w:t>
    </w:r>
  </w:p>
  <w:p>
    <w:pPr>
      <w:pStyle w:val="Normal"/>
      <w:tabs>
        <w:tab w:val="clear" w:pos="720"/>
        <w:tab w:val="center" w:pos="4252" w:leader="none"/>
        <w:tab w:val="right" w:pos="8504" w:leader="none"/>
      </w:tabs>
      <w:spacing w:lineRule="auto" w:line="240" w:before="0" w:after="0"/>
      <w:jc w:val="center"/>
      <w:rPr>
        <w:rFonts w:ascii="Times New Roman" w:hAnsi="Times New Roman"/>
        <w:b/>
        <w:color w:val="000000"/>
        <w:sz w:val="28"/>
        <w:szCs w:val="28"/>
      </w:rPr>
    </w:pPr>
    <w:r>
      <w:rPr>
        <w:rFonts w:ascii="Times New Roman" w:hAnsi="Times New Roman"/>
        <w:b/>
        <w:color w:val="000000"/>
        <w:sz w:val="28"/>
        <w:szCs w:val="28"/>
      </w:rPr>
      <w:t xml:space="preserve">ESTADO DO </w:t>
    </w:r>
    <w:r>
      <w:rPr>
        <w:rFonts w:ascii="Times New Roman" w:hAnsi="Times New Roman"/>
        <w:b/>
        <w:sz w:val="28"/>
        <w:szCs w:val="28"/>
      </w:rPr>
      <w:t>PARANÁ</w:t>
    </w:r>
  </w:p>
  <w:p>
    <w:pPr>
      <w:pStyle w:val="Normal"/>
      <w:tabs>
        <w:tab w:val="clear" w:pos="720"/>
        <w:tab w:val="center" w:pos="4252" w:leader="none"/>
        <w:tab w:val="right" w:pos="8504" w:leader="none"/>
      </w:tabs>
      <w:spacing w:lineRule="auto" w:line="240" w:before="0" w:after="0"/>
      <w:jc w:val="center"/>
      <w:rPr>
        <w:rFonts w:ascii="Arial" w:hAnsi="Arial" w:eastAsia="Arial" w:cs="Arial"/>
        <w:color w:val="000000"/>
        <w:sz w:val="28"/>
        <w:szCs w:val="28"/>
      </w:rPr>
    </w:pPr>
    <w:r>
      <w:rPr>
        <w:rFonts w:eastAsia="Arial" w:cs="Arial" w:ascii="Arial" w:hAnsi="Arial"/>
        <w:color w:val="000000"/>
        <w:sz w:val="28"/>
        <w:szCs w:val="2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Calibri" w:hAnsi="Calibri" w:eastAsia="Times New Roman" w:cs="Times New Roman"/>
      <w:color w:val="auto"/>
      <w:kern w:val="0"/>
      <w:sz w:val="22"/>
      <w:szCs w:val="22"/>
      <w:lang w:val="pt-BR" w:eastAsia="pt-BR" w:bidi="ar-SA"/>
    </w:rPr>
  </w:style>
  <w:style w:type="paragraph" w:styleId="Heading1">
    <w:name w:val="heading 1"/>
    <w:basedOn w:val="Normal"/>
    <w:next w:val="Normal"/>
    <w:qFormat/>
    <w:pPr>
      <w:keepNext w:val="true"/>
      <w:keepLines/>
      <w:numPr>
        <w:ilvl w:val="0"/>
        <w:numId w:val="0"/>
      </w:numPr>
      <w:spacing w:before="480" w:after="120"/>
      <w:outlineLvl w:val="0"/>
    </w:pPr>
    <w:rPr>
      <w:b/>
      <w:sz w:val="48"/>
      <w:szCs w:val="48"/>
    </w:rPr>
  </w:style>
  <w:style w:type="paragraph" w:styleId="Heading2">
    <w:name w:val="heading 2"/>
    <w:basedOn w:val="Normal"/>
    <w:next w:val="Normal"/>
    <w:qFormat/>
    <w:pPr>
      <w:keepNext w:val="true"/>
      <w:keepLines/>
      <w:numPr>
        <w:ilvl w:val="0"/>
        <w:numId w:val="0"/>
      </w:numPr>
      <w:spacing w:before="360" w:after="80"/>
      <w:outlineLvl w:val="1"/>
    </w:pPr>
    <w:rPr>
      <w:b/>
      <w:sz w:val="36"/>
      <w:szCs w:val="36"/>
    </w:rPr>
  </w:style>
  <w:style w:type="paragraph" w:styleId="Heading3">
    <w:name w:val="heading 3"/>
    <w:basedOn w:val="Normal"/>
    <w:next w:val="Normal"/>
    <w:qFormat/>
    <w:pPr>
      <w:keepNext w:val="true"/>
      <w:keepLines/>
      <w:numPr>
        <w:ilvl w:val="0"/>
        <w:numId w:val="0"/>
      </w:numPr>
      <w:spacing w:before="280" w:after="80"/>
      <w:outlineLvl w:val="2"/>
    </w:pPr>
    <w:rPr>
      <w:b/>
      <w:sz w:val="28"/>
      <w:szCs w:val="28"/>
    </w:rPr>
  </w:style>
  <w:style w:type="paragraph" w:styleId="Heading4">
    <w:name w:val="heading 4"/>
    <w:basedOn w:val="Normal"/>
    <w:next w:val="Normal"/>
    <w:qFormat/>
    <w:pPr>
      <w:keepNext w:val="true"/>
      <w:keepLines/>
      <w:numPr>
        <w:ilvl w:val="0"/>
        <w:numId w:val="0"/>
      </w:numPr>
      <w:spacing w:before="240" w:after="40"/>
      <w:outlineLvl w:val="3"/>
    </w:pPr>
    <w:rPr>
      <w:b/>
      <w:sz w:val="24"/>
      <w:szCs w:val="24"/>
    </w:rPr>
  </w:style>
  <w:style w:type="paragraph" w:styleId="Heading5">
    <w:name w:val="heading 5"/>
    <w:basedOn w:val="Normal"/>
    <w:next w:val="Normal"/>
    <w:qFormat/>
    <w:pPr>
      <w:keepNext w:val="true"/>
      <w:keepLines/>
      <w:numPr>
        <w:ilvl w:val="0"/>
        <w:numId w:val="0"/>
      </w:numPr>
      <w:spacing w:before="220" w:after="40"/>
      <w:outlineLvl w:val="4"/>
    </w:pPr>
    <w:rPr>
      <w:b/>
    </w:rPr>
  </w:style>
  <w:style w:type="paragraph" w:styleId="Heading6">
    <w:name w:val="heading 6"/>
    <w:basedOn w:val="Normal"/>
    <w:next w:val="Normal"/>
    <w:qFormat/>
    <w:pPr>
      <w:keepNext w:val="true"/>
      <w:keepLines/>
      <w:numPr>
        <w:ilvl w:val="0"/>
        <w:numId w:val="0"/>
      </w:numPr>
      <w:spacing w:before="200" w:after="40"/>
      <w:outlineLvl w:val="5"/>
    </w:pPr>
    <w:rPr>
      <w:b/>
      <w:sz w:val="20"/>
      <w:szCs w:val="20"/>
    </w:rPr>
  </w:style>
  <w:style w:type="character" w:styleId="DefaultParagraphFont">
    <w:name w:val="Default Paragraph Font"/>
    <w:qFormat/>
    <w:rPr/>
  </w:style>
  <w:style w:type="character" w:styleId="CabealhoChar">
    <w:name w:val="Cabeçalho Char"/>
    <w:basedOn w:val="DefaultParagraphFont"/>
    <w:qFormat/>
    <w:rPr/>
  </w:style>
  <w:style w:type="character" w:styleId="RodapChar">
    <w:name w:val="Rodapé Char"/>
    <w:basedOn w:val="DefaultParagraphFont"/>
    <w:qFormat/>
    <w:rPr/>
  </w:style>
  <w:style w:type="character" w:styleId="Hyperlink">
    <w:name w:val="Hyperlink"/>
    <w:basedOn w:val="DefaultParagraphFont"/>
    <w:rPr>
      <w:color w:val="0000FF"/>
      <w:u w:val="single"/>
    </w:rPr>
  </w:style>
  <w:style w:type="character" w:styleId="Strong">
    <w:name w:val="Strong"/>
    <w:qFormat/>
    <w:rPr>
      <w:b/>
    </w:rPr>
  </w:style>
  <w:style w:type="character" w:styleId="Smbolosdenumerao">
    <w:name w:val="Símbolos de numeração"/>
    <w:qFormat/>
    <w:rPr/>
  </w:style>
  <w:style w:type="character" w:styleId="Marcadores">
    <w:name w:val="Marcadores"/>
    <w:qFormat/>
    <w:rPr>
      <w:rFonts w:ascii="OpenSymbol" w:hAnsi="OpenSymbol" w:eastAsia="OpenSymbol" w:cs="OpenSymbol"/>
    </w:rPr>
  </w:style>
  <w:style w:type="character" w:styleId="UnresolvedMention">
    <w:name w:val="Unresolved Mention"/>
    <w:basedOn w:val="DefaultParagraphFont"/>
    <w:qFormat/>
    <w:rPr>
      <w:color w:val="605E5C"/>
      <w:shd w:fill="E1DFDD" w:val="clear"/>
    </w:rPr>
  </w:style>
  <w:style w:type="character" w:styleId="TextodecomentrioChar">
    <w:name w:val="Texto de comentário Char"/>
    <w:basedOn w:val="DefaultParagraphFont"/>
    <w:qFormat/>
    <w:rPr>
      <w:rFonts w:eastAsia="Times New Roman" w:cs="Times New Roman"/>
      <w:sz w:val="20"/>
      <w:szCs w:val="20"/>
    </w:rPr>
  </w:style>
  <w:style w:type="character" w:styleId="CommentReference">
    <w:name w:val="annotation reference"/>
    <w:basedOn w:val="DefaultParagraphFont"/>
    <w:qFormat/>
    <w:rPr>
      <w:sz w:val="16"/>
      <w:szCs w:val="16"/>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link w:val="CabealhoChar"/>
    <w:pPr>
      <w:tabs>
        <w:tab w:val="clear" w:pos="720"/>
        <w:tab w:val="center" w:pos="4252" w:leader="none"/>
        <w:tab w:val="right" w:pos="8504" w:leader="none"/>
      </w:tabs>
      <w:spacing w:lineRule="auto" w:line="240" w:before="0" w:after="0"/>
    </w:pPr>
    <w:rPr>
      <w:rFonts w:eastAsia="Calibri" w:cs="Calibri"/>
    </w:rPr>
  </w:style>
  <w:style w:type="paragraph" w:styleId="Footer">
    <w:name w:val="footer"/>
    <w:basedOn w:val="Normal"/>
    <w:link w:val="RodapChar"/>
    <w:pPr>
      <w:tabs>
        <w:tab w:val="clear" w:pos="720"/>
        <w:tab w:val="center" w:pos="4252" w:leader="none"/>
        <w:tab w:val="right" w:pos="8504" w:leader="none"/>
      </w:tabs>
      <w:spacing w:lineRule="auto" w:line="240" w:before="0" w:after="0"/>
    </w:pPr>
    <w:rPr>
      <w:rFonts w:eastAsia="Calibri" w:cs="Calibri"/>
    </w:rPr>
  </w:style>
  <w:style w:type="paragraph" w:styleId="ListParagraph">
    <w:name w:val="List Paragraph"/>
    <w:basedOn w:val="Normal"/>
    <w:qFormat/>
    <w:pPr>
      <w:spacing w:lineRule="auto" w:line="259" w:before="0" w:after="160"/>
      <w:ind w:left="720"/>
      <w:contextualSpacing/>
    </w:pPr>
    <w:rPr>
      <w:rFonts w:eastAsia="Calibri" w:cs="Calibri"/>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ommentText">
    <w:name w:val="annotation text"/>
    <w:basedOn w:val="Normal"/>
    <w:link w:val="TextodecomentrioChar"/>
    <w:pPr>
      <w:spacing w:lineRule="auto" w:line="240"/>
    </w:pPr>
    <w:rPr>
      <w:sz w:val="20"/>
      <w:szCs w:val="20"/>
    </w:rPr>
  </w:style>
  <w:style w:type="numbering" w:styleId="Semlista">
    <w:name w:val="Sem lista"/>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gov.br/pncp/pt-br" TargetMode="External"/><Relationship Id="rId3" Type="http://schemas.openxmlformats.org/officeDocument/2006/relationships/hyperlink" Target="https://pncp.gov.br/" TargetMode="External"/><Relationship Id="rId4" Type="http://schemas.openxmlformats.org/officeDocument/2006/relationships/hyperlink" Target="http://www.notaparana.pr.gov.br/" TargetMode="External"/><Relationship Id="rId5" Type="http://schemas.openxmlformats.org/officeDocument/2006/relationships/hyperlink" Target="mailto:saranditratores@saranditratores.com.br"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1351</TotalTime>
  <Application>LibreOffice/24.8.5.2$Windows_X86_64 LibreOffice_project/fddf2685c70b461e7832239a0162a77216259f22</Application>
  <AppVersion>15.0000</AppVersion>
  <Pages>3</Pages>
  <Words>869</Words>
  <Characters>5054</Characters>
  <CharactersWithSpaces>5930</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2025-03-06T17:15:00Z</dcterms:created>
  <dc:creator>Usuário do Windows</dc:creator>
  <dc:description/>
  <dc:language>pt-BR</dc:language>
  <cp:lastModifiedBy/>
  <cp:lastPrinted>2025-04-10T11:05:00Z</cp:lastPrinted>
  <dcterms:modified xsi:type="dcterms:W3CDTF">2025-04-11T07:47:36Z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